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05-012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21 февраля 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 привлекаемого к административной ответственности – 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Кэлан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Илгар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9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Российской Федерации, проживающего по месту регистрации по адресу: </w:t>
      </w:r>
      <w:r>
        <w:rPr>
          <w:rStyle w:val="cat-UserDefinedgrp-39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0rplc-15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вступившему в законную силу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7.10.2023 г.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>№ 18810586231003053846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.10.2023 года по делу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12.9 Кодекса Российской Федерации об административных правонарушениях, Мамедову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назначено административное наказание в виде штрафа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.12.2023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Мамедов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вышеуказанный штраф не уплатил. Таким образом, Мамедов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.12.2023 года в 00 час. 01 мин. по адресу: </w:t>
      </w:r>
      <w:r>
        <w:rPr>
          <w:rStyle w:val="cat-UserDefinedgrp-41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совершил административное правонарушение, предусмотренное ч.1 ст.20.25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изложенным обстоятельствам должностным лицом ОМВД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административном правонарушении, предусмотренном частью 1 статьи 20.25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вину во вменённом административном правонарушении признал в полном объеме, пояснил, что забыл оплатить штраф в срок. Просил назначить ему за данное правонарушение наказание в виде штрафа, который он обязуется уплатить.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>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86 ХМ №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65318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03.01.2024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Мамедову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18810586231003053846 от 03.10.2023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12.9 КоАП РФ в отношении 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>, которому назначено административное наказание в виде штрафа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страниц паспорта гражданина Российской Федерации на имя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Мамедову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его семейное положение, обстоятельства совершения административного правонарушения, наличие смягчающих и отягчающих административную ответственность обстоятельств, характер совершённого административного правонарушения; </w:t>
      </w:r>
      <w:r>
        <w:rPr>
          <w:rFonts w:ascii="Times New Roman" w:eastAsia="Times New Roman" w:hAnsi="Times New Roman" w:cs="Times New Roman"/>
          <w:sz w:val="26"/>
          <w:szCs w:val="26"/>
        </w:rPr>
        <w:t>личность виновного, его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считает необходимым назначить Мамедову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Кэлан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Илгар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одна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p12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p11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р/с </w:t>
      </w:r>
      <w:r>
        <w:rPr>
          <w:rFonts w:ascii="Times New Roman" w:eastAsia="Times New Roman" w:hAnsi="Times New Roman" w:cs="Times New Roman"/>
          <w:sz w:val="26"/>
          <w:szCs w:val="26"/>
        </w:rPr>
        <w:t>03100643000000018700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РКЦ Ханты-Мансийск//УФК по Ханты-Мансийскому автономному округу - Югре 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ЕКС </w:t>
      </w:r>
      <w:r>
        <w:rPr>
          <w:rFonts w:ascii="Times New Roman" w:eastAsia="Times New Roman" w:hAnsi="Times New Roman" w:cs="Times New Roman"/>
          <w:sz w:val="26"/>
          <w:szCs w:val="26"/>
        </w:rPr>
        <w:t>40102810245370000007,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007162163; ИНН 8601073664; КПП 8601 01 001; л/с 04872D08080, ОКТМО </w:t>
      </w:r>
      <w:r>
        <w:rPr>
          <w:rFonts w:ascii="Times New Roman" w:eastAsia="Times New Roman" w:hAnsi="Times New Roman" w:cs="Times New Roman"/>
          <w:sz w:val="26"/>
          <w:szCs w:val="26"/>
        </w:rPr>
        <w:t>71826000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0412365400135001212420142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Реквизиты «КБК» и «ОКТМО» подлежат заполнению самостоятельно.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8rplc-8">
    <w:name w:val="cat-ExternalSystemDefined grp-38 rplc-8"/>
    <w:basedOn w:val="DefaultParagraphFont"/>
  </w:style>
  <w:style w:type="character" w:customStyle="1" w:styleId="cat-PassportDatagrp-29rplc-9">
    <w:name w:val="cat-PassportData grp-29 rplc-9"/>
    <w:basedOn w:val="DefaultParagraphFont"/>
  </w:style>
  <w:style w:type="character" w:customStyle="1" w:styleId="cat-UserDefinedgrp-39rplc-11">
    <w:name w:val="cat-UserDefined grp-39 rplc-11"/>
    <w:basedOn w:val="DefaultParagraphFont"/>
  </w:style>
  <w:style w:type="character" w:customStyle="1" w:styleId="cat-PassportDatagrp-30rplc-15">
    <w:name w:val="cat-PassportData grp-30 rplc-15"/>
    <w:basedOn w:val="DefaultParagraphFont"/>
  </w:style>
  <w:style w:type="character" w:customStyle="1" w:styleId="cat-UserDefinedgrp-40rplc-16">
    <w:name w:val="cat-UserDefined grp-40 rplc-16"/>
    <w:basedOn w:val="DefaultParagraphFont"/>
  </w:style>
  <w:style w:type="character" w:customStyle="1" w:styleId="cat-UserDefinedgrp-41rplc-28">
    <w:name w:val="cat-UserDefined grp-41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6.html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